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4B9DEB">
      <w:pPr>
        <w:widowControl/>
        <w:jc w:val="center"/>
        <w:rPr>
          <w:rFonts w:hint="eastAsia" w:ascii="方正小标宋简体" w:eastAsia="方正小标宋简体" w:cs="方正小标宋简体"/>
          <w:color w:val="000000"/>
          <w:spacing w:val="-20"/>
          <w:kern w:val="0"/>
          <w:sz w:val="72"/>
          <w:szCs w:val="72"/>
          <w:lang w:val="en-US" w:eastAsia="zh-CN"/>
        </w:rPr>
      </w:pPr>
    </w:p>
    <w:p w14:paraId="2F2B1249">
      <w:pPr>
        <w:widowControl/>
        <w:jc w:val="center"/>
        <w:rPr>
          <w:rFonts w:hint="eastAsia" w:ascii="方正小标宋简体" w:eastAsia="方正小标宋简体"/>
          <w:sz w:val="72"/>
          <w:szCs w:val="72"/>
          <w:lang w:eastAsia="zh-CN"/>
        </w:rPr>
      </w:pPr>
      <w:r>
        <w:rPr>
          <w:rFonts w:hint="eastAsia" w:ascii="方正小标宋简体" w:eastAsia="方正小标宋简体" w:cs="方正小标宋简体"/>
          <w:color w:val="000000"/>
          <w:spacing w:val="-20"/>
          <w:kern w:val="0"/>
          <w:sz w:val="72"/>
          <w:szCs w:val="72"/>
          <w:lang w:val="en-US" w:eastAsia="zh-CN"/>
        </w:rPr>
        <w:t>成品粮油采购</w:t>
      </w:r>
      <w:r>
        <w:rPr>
          <w:rFonts w:hint="eastAsia" w:ascii="方正小标宋简体" w:eastAsia="方正小标宋简体" w:cs="方正小标宋简体"/>
          <w:color w:val="000000"/>
          <w:kern w:val="0"/>
          <w:sz w:val="72"/>
          <w:szCs w:val="72"/>
          <w:lang w:eastAsia="zh-CN"/>
        </w:rPr>
        <w:t>协议书</w:t>
      </w:r>
    </w:p>
    <w:p w14:paraId="6576C930">
      <w:pPr>
        <w:widowControl/>
        <w:jc w:val="center"/>
        <w:rPr>
          <w:rFonts w:ascii="仿宋" w:eastAsia="仿宋"/>
          <w:b/>
          <w:bCs/>
          <w:color w:val="000000"/>
          <w:kern w:val="0"/>
          <w:sz w:val="31"/>
          <w:szCs w:val="31"/>
        </w:rPr>
      </w:pPr>
    </w:p>
    <w:p w14:paraId="03ED5AE6">
      <w:pPr>
        <w:pStyle w:val="2"/>
      </w:pPr>
    </w:p>
    <w:p w14:paraId="2FE06D64">
      <w:pPr>
        <w:widowControl/>
        <w:jc w:val="center"/>
        <w:rPr>
          <w:rFonts w:ascii="仿宋" w:eastAsia="仿宋"/>
          <w:b/>
          <w:bCs/>
          <w:color w:val="000000"/>
          <w:kern w:val="0"/>
          <w:sz w:val="40"/>
          <w:szCs w:val="40"/>
        </w:rPr>
      </w:pPr>
    </w:p>
    <w:p w14:paraId="18DD54BA">
      <w:pPr>
        <w:pStyle w:val="2"/>
      </w:pPr>
    </w:p>
    <w:p w14:paraId="77703F9A">
      <w:pPr>
        <w:pStyle w:val="2"/>
        <w:rPr>
          <w:rFonts w:ascii="仿宋" w:eastAsia="仿宋"/>
          <w:b/>
          <w:bCs/>
          <w:color w:val="000000"/>
          <w:kern w:val="0"/>
          <w:sz w:val="40"/>
          <w:szCs w:val="40"/>
        </w:rPr>
      </w:pPr>
    </w:p>
    <w:p w14:paraId="5B098334">
      <w:pPr>
        <w:pStyle w:val="2"/>
        <w:rPr>
          <w:rFonts w:ascii="仿宋" w:eastAsia="仿宋"/>
          <w:b/>
          <w:bCs/>
          <w:color w:val="000000"/>
          <w:kern w:val="0"/>
          <w:sz w:val="40"/>
          <w:szCs w:val="40"/>
        </w:rPr>
      </w:pPr>
    </w:p>
    <w:p w14:paraId="66C414C8">
      <w:pPr>
        <w:pStyle w:val="2"/>
        <w:rPr>
          <w:rFonts w:ascii="仿宋" w:eastAsia="仿宋"/>
          <w:b/>
          <w:bCs/>
          <w:color w:val="000000"/>
          <w:kern w:val="0"/>
          <w:sz w:val="40"/>
          <w:szCs w:val="40"/>
        </w:rPr>
      </w:pPr>
    </w:p>
    <w:p w14:paraId="6B4C1E80">
      <w:pPr>
        <w:rPr>
          <w:rFonts w:ascii="仿宋" w:eastAsia="仿宋"/>
          <w:b/>
          <w:bCs/>
          <w:color w:val="000000"/>
          <w:kern w:val="0"/>
          <w:sz w:val="40"/>
          <w:szCs w:val="40"/>
        </w:rPr>
      </w:pPr>
    </w:p>
    <w:p w14:paraId="73D575A3">
      <w:pPr>
        <w:pStyle w:val="2"/>
      </w:pPr>
    </w:p>
    <w:p w14:paraId="24E009D0">
      <w:pPr>
        <w:pStyle w:val="2"/>
        <w:rPr>
          <w:rFonts w:ascii="仿宋" w:eastAsia="仿宋"/>
          <w:b/>
          <w:bCs/>
          <w:color w:val="000000"/>
          <w:kern w:val="0"/>
          <w:sz w:val="40"/>
          <w:szCs w:val="40"/>
        </w:rPr>
      </w:pPr>
    </w:p>
    <w:p w14:paraId="31B5D531">
      <w:pPr>
        <w:pStyle w:val="2"/>
        <w:rPr>
          <w:rFonts w:ascii="仿宋" w:eastAsia="仿宋"/>
          <w:b/>
          <w:bCs/>
          <w:color w:val="000000"/>
          <w:kern w:val="0"/>
          <w:sz w:val="40"/>
          <w:szCs w:val="40"/>
        </w:rPr>
      </w:pPr>
    </w:p>
    <w:p w14:paraId="7780737C">
      <w:pPr>
        <w:rPr>
          <w:rFonts w:ascii="仿宋" w:eastAsia="仿宋"/>
          <w:b/>
          <w:bCs/>
          <w:color w:val="000000"/>
          <w:kern w:val="0"/>
          <w:sz w:val="40"/>
          <w:szCs w:val="40"/>
        </w:rPr>
      </w:pPr>
    </w:p>
    <w:p w14:paraId="0ACD8AF1">
      <w:pPr>
        <w:pStyle w:val="3"/>
      </w:pPr>
    </w:p>
    <w:p w14:paraId="4AF168D7">
      <w:pPr>
        <w:widowControl/>
        <w:jc w:val="center"/>
        <w:rPr>
          <w:rFonts w:ascii="仿宋_GB2312" w:eastAsia="仿宋_GB2312"/>
          <w:b/>
          <w:bCs/>
          <w:color w:val="000000"/>
          <w:kern w:val="0"/>
          <w:sz w:val="44"/>
          <w:szCs w:val="44"/>
        </w:rPr>
      </w:pPr>
    </w:p>
    <w:p w14:paraId="7CBFD27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楷体_GB2312" w:eastAsia="楷体_GB2312" w:cs="楷体_GB2312"/>
          <w:b/>
          <w:bCs/>
          <w:color w:val="000000"/>
          <w:kern w:val="0"/>
          <w:sz w:val="44"/>
          <w:szCs w:val="44"/>
        </w:rPr>
      </w:pPr>
      <w:r>
        <w:rPr>
          <w:rFonts w:hint="eastAsia" w:ascii="楷体_GB2312" w:eastAsia="楷体_GB2312" w:cs="楷体_GB2312"/>
          <w:b/>
          <w:bCs/>
          <w:color w:val="000000"/>
          <w:kern w:val="0"/>
          <w:sz w:val="44"/>
          <w:szCs w:val="44"/>
          <w:lang w:eastAsia="zh-CN"/>
        </w:rPr>
        <w:t>协议</w:t>
      </w:r>
      <w:r>
        <w:rPr>
          <w:rFonts w:hint="eastAsia" w:ascii="楷体_GB2312" w:eastAsia="楷体_GB2312" w:cs="楷体_GB2312"/>
          <w:b/>
          <w:bCs/>
          <w:color w:val="000000"/>
          <w:kern w:val="0"/>
          <w:sz w:val="44"/>
          <w:szCs w:val="44"/>
        </w:rPr>
        <w:t>编号：</w:t>
      </w:r>
    </w:p>
    <w:p w14:paraId="1F266D2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楷体_GB2312" w:eastAsia="楷体_GB2312" w:cs="楷体_GB2312"/>
          <w:b/>
          <w:bCs/>
          <w:color w:val="000000"/>
          <w:kern w:val="0"/>
          <w:sz w:val="44"/>
          <w:szCs w:val="44"/>
          <w:lang w:eastAsia="zh-CN"/>
        </w:rPr>
      </w:pPr>
      <w:r>
        <w:rPr>
          <w:rFonts w:hint="eastAsia" w:ascii="楷体_GB2312" w:eastAsia="楷体_GB2312" w:cs="楷体_GB2312"/>
          <w:b/>
          <w:bCs/>
          <w:color w:val="000000"/>
          <w:kern w:val="0"/>
          <w:sz w:val="44"/>
          <w:szCs w:val="44"/>
        </w:rPr>
        <w:t>项目名称：</w:t>
      </w:r>
      <w:r>
        <w:rPr>
          <w:rFonts w:hint="eastAsia" w:ascii="楷体_GB2312" w:eastAsia="楷体_GB2312" w:cs="楷体_GB2312"/>
          <w:b/>
          <w:bCs/>
          <w:color w:val="000000"/>
          <w:kern w:val="0"/>
          <w:sz w:val="44"/>
          <w:szCs w:val="44"/>
          <w:lang w:eastAsia="zh-CN"/>
        </w:rPr>
        <w:t>贵阳市粮食储备管理有限公司</w:t>
      </w:r>
    </w:p>
    <w:p w14:paraId="4F6402AB">
      <w:pPr>
        <w:pStyle w:val="2"/>
        <w:rPr>
          <w:rFonts w:hint="eastAsia" w:ascii="楷体_GB2312" w:eastAsia="楷体_GB2312" w:cs="楷体_GB2312"/>
          <w:b/>
          <w:bCs/>
          <w:color w:val="000000"/>
          <w:kern w:val="0"/>
          <w:sz w:val="44"/>
          <w:szCs w:val="44"/>
          <w:lang w:eastAsia="zh-CN"/>
        </w:rPr>
      </w:pPr>
    </w:p>
    <w:p w14:paraId="70BFE8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393650F2">
      <w:pPr>
        <w:pStyle w:val="3"/>
        <w:rPr>
          <w:rFonts w:hint="eastAsia"/>
        </w:rPr>
      </w:pPr>
    </w:p>
    <w:p w14:paraId="0BF4E9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甲方：贵阳市粮食储备管理有限公司</w:t>
      </w:r>
    </w:p>
    <w:p w14:paraId="7F60FB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 xml:space="preserve">乙方： </w:t>
      </w:r>
    </w:p>
    <w:p w14:paraId="7147FD92">
      <w:pPr>
        <w:pStyle w:val="6"/>
        <w:widowControl w:val="0"/>
        <w:spacing w:before="240" w:after="120"/>
        <w:ind w:firstLine="640" w:firstLineChars="200"/>
        <w:jc w:val="left"/>
        <w:rPr>
          <w:rFonts w:hint="eastAsia" w:ascii="方正仿宋_GB2312" w:hAnsi="方正仿宋_GB2312" w:eastAsia="方正仿宋_GB2312" w:cs="方正仿宋_GB2312"/>
          <w:color w:val="000000"/>
          <w:highlight w:val="none"/>
          <w:lang w:val="en-US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甲方根据</w:t>
      </w: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《贵阳市粮食储备管理有限公司XX吨市级储备成品粮大米//油采购及代储服务项目供应商征集公告》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（项目编号XX-XX-XX-XX）的公开招标结果，接受乙方作为本项目的供应商。甲、乙双方友好协商，共同签署本协议。</w:t>
      </w:r>
    </w:p>
    <w:p w14:paraId="53434891">
      <w:pPr>
        <w:numPr>
          <w:ilvl w:val="0"/>
          <w:numId w:val="1"/>
        </w:numPr>
        <w:spacing w:line="560" w:lineRule="exact"/>
        <w:ind w:firstLine="640" w:firstLineChars="200"/>
        <w:rPr>
          <w:rFonts w:hint="eastAsia" w:ascii="黑体" w:hAnsi="黑体" w:eastAsia="黑体" w:cs="仿宋"/>
          <w:sz w:val="32"/>
          <w:szCs w:val="32"/>
          <w:lang w:val="en-US" w:eastAsia="zh-CN"/>
        </w:rPr>
      </w:pPr>
      <w:r>
        <w:rPr>
          <w:rFonts w:hint="eastAsia" w:ascii="黑体" w:hAnsi="黑体" w:eastAsia="黑体" w:cs="仿宋"/>
          <w:sz w:val="32"/>
          <w:szCs w:val="32"/>
        </w:rPr>
        <w:t>品种</w:t>
      </w:r>
      <w:r>
        <w:rPr>
          <w:rFonts w:hint="eastAsia" w:ascii="黑体" w:hAnsi="黑体" w:eastAsia="黑体" w:cs="仿宋"/>
          <w:sz w:val="32"/>
          <w:szCs w:val="32"/>
          <w:lang w:eastAsia="zh-CN"/>
        </w:rPr>
        <w:t>、</w:t>
      </w:r>
      <w:r>
        <w:rPr>
          <w:rFonts w:hint="eastAsia" w:ascii="黑体" w:hAnsi="黑体" w:eastAsia="黑体" w:cs="仿宋"/>
          <w:sz w:val="32"/>
          <w:szCs w:val="32"/>
          <w:lang w:val="en-US" w:eastAsia="zh-CN"/>
        </w:rPr>
        <w:t>数量、规格及价值</w:t>
      </w:r>
    </w:p>
    <w:tbl>
      <w:tblPr>
        <w:tblStyle w:val="7"/>
        <w:tblW w:w="9781" w:type="dxa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0"/>
        <w:gridCol w:w="1830"/>
        <w:gridCol w:w="720"/>
        <w:gridCol w:w="1025"/>
        <w:gridCol w:w="2259"/>
        <w:gridCol w:w="2277"/>
      </w:tblGrid>
      <w:tr w14:paraId="00549C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670" w:type="dxa"/>
            <w:vAlign w:val="center"/>
          </w:tcPr>
          <w:p w14:paraId="58EF17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360" w:firstLineChars="15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货物名称</w:t>
            </w:r>
          </w:p>
        </w:tc>
        <w:tc>
          <w:tcPr>
            <w:tcW w:w="1830" w:type="dxa"/>
            <w:vAlign w:val="center"/>
          </w:tcPr>
          <w:p w14:paraId="616340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120" w:firstLineChars="5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规 格</w:t>
            </w:r>
          </w:p>
        </w:tc>
        <w:tc>
          <w:tcPr>
            <w:tcW w:w="720" w:type="dxa"/>
            <w:vAlign w:val="center"/>
          </w:tcPr>
          <w:p w14:paraId="1B1938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单位</w:t>
            </w:r>
          </w:p>
        </w:tc>
        <w:tc>
          <w:tcPr>
            <w:tcW w:w="1025" w:type="dxa"/>
            <w:vAlign w:val="center"/>
          </w:tcPr>
          <w:p w14:paraId="57A7C3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数量</w:t>
            </w:r>
          </w:p>
        </w:tc>
        <w:tc>
          <w:tcPr>
            <w:tcW w:w="2259" w:type="dxa"/>
            <w:vAlign w:val="center"/>
          </w:tcPr>
          <w:p w14:paraId="394717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成交单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价（元）/吨</w:t>
            </w:r>
          </w:p>
        </w:tc>
        <w:tc>
          <w:tcPr>
            <w:tcW w:w="2277" w:type="dxa"/>
            <w:vAlign w:val="center"/>
          </w:tcPr>
          <w:p w14:paraId="22891E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成交金额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元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）</w:t>
            </w:r>
          </w:p>
        </w:tc>
      </w:tr>
      <w:tr w14:paraId="45B81B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1670" w:type="dxa"/>
            <w:vAlign w:val="center"/>
          </w:tcPr>
          <w:p w14:paraId="6BF2EF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粳米</w:t>
            </w:r>
          </w:p>
        </w:tc>
        <w:tc>
          <w:tcPr>
            <w:tcW w:w="1830" w:type="dxa"/>
            <w:vAlign w:val="center"/>
          </w:tcPr>
          <w:p w14:paraId="3176E1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720" w:type="dxa"/>
            <w:vAlign w:val="center"/>
          </w:tcPr>
          <w:p w14:paraId="193588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吨</w:t>
            </w:r>
          </w:p>
        </w:tc>
        <w:tc>
          <w:tcPr>
            <w:tcW w:w="1025" w:type="dxa"/>
            <w:vAlign w:val="center"/>
          </w:tcPr>
          <w:p w14:paraId="1B63C1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XX吨</w:t>
            </w:r>
          </w:p>
        </w:tc>
        <w:tc>
          <w:tcPr>
            <w:tcW w:w="2259" w:type="dxa"/>
            <w:vAlign w:val="center"/>
          </w:tcPr>
          <w:p w14:paraId="25DED7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XX</w:t>
            </w:r>
          </w:p>
        </w:tc>
        <w:tc>
          <w:tcPr>
            <w:tcW w:w="2277" w:type="dxa"/>
            <w:vAlign w:val="center"/>
          </w:tcPr>
          <w:p w14:paraId="7A851D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XX</w:t>
            </w:r>
          </w:p>
        </w:tc>
      </w:tr>
      <w:tr w14:paraId="27ED65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1670" w:type="dxa"/>
            <w:vAlign w:val="center"/>
          </w:tcPr>
          <w:p w14:paraId="76F3BB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合计金额</w:t>
            </w:r>
          </w:p>
        </w:tc>
        <w:tc>
          <w:tcPr>
            <w:tcW w:w="8111" w:type="dxa"/>
            <w:gridSpan w:val="5"/>
            <w:vAlign w:val="center"/>
          </w:tcPr>
          <w:p w14:paraId="35D1C1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XX</w:t>
            </w:r>
          </w:p>
        </w:tc>
      </w:tr>
    </w:tbl>
    <w:p w14:paraId="11CFEE79">
      <w:pPr>
        <w:spacing w:line="560" w:lineRule="exact"/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以上金额为包干价，包含货物货款、运输费、装卸费等一切相关费用。</w:t>
      </w:r>
    </w:p>
    <w:p w14:paraId="3A3F87B7">
      <w:pPr>
        <w:numPr>
          <w:ilvl w:val="0"/>
          <w:numId w:val="1"/>
        </w:numPr>
        <w:spacing w:line="560" w:lineRule="exact"/>
        <w:ind w:left="0" w:leftChars="0" w:firstLine="640" w:firstLineChars="200"/>
        <w:rPr>
          <w:rFonts w:hint="eastAsia" w:ascii="黑体" w:hAnsi="黑体" w:eastAsia="黑体" w:cs="仿宋"/>
          <w:sz w:val="32"/>
          <w:szCs w:val="32"/>
        </w:rPr>
      </w:pPr>
      <w:r>
        <w:rPr>
          <w:rFonts w:hint="eastAsia" w:ascii="黑体" w:hAnsi="黑体" w:eastAsia="黑体" w:cs="仿宋"/>
          <w:sz w:val="32"/>
          <w:szCs w:val="32"/>
        </w:rPr>
        <w:t>质量</w:t>
      </w:r>
      <w:r>
        <w:rPr>
          <w:rFonts w:hint="eastAsia" w:ascii="黑体" w:hAnsi="黑体" w:eastAsia="黑体" w:cs="仿宋"/>
          <w:sz w:val="32"/>
          <w:szCs w:val="32"/>
          <w:lang w:val="en-US" w:eastAsia="zh-CN"/>
        </w:rPr>
        <w:t>及品质要求</w:t>
      </w:r>
    </w:p>
    <w:p w14:paraId="749697D1">
      <w:pPr>
        <w:numPr>
          <w:ilvl w:val="0"/>
          <w:numId w:val="0"/>
        </w:numPr>
        <w:spacing w:line="560" w:lineRule="exact"/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质量标准：乙方供应的成品粮/油须符合国标及以上质量标准（GB/T 1354-2018）。</w:t>
      </w:r>
    </w:p>
    <w:p w14:paraId="391C38A8">
      <w:pPr>
        <w:numPr>
          <w:ilvl w:val="0"/>
          <w:numId w:val="0"/>
        </w:numPr>
        <w:spacing w:line="560" w:lineRule="exact"/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  <w:highlight w:val="yellow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品质保证：乙方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供应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的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成品粮/油须符合国家食品安全标准（GB 2761-2017及GB 2762-2022等）；须为中标之日xx日内加工生产；包装、标签符合国家相关标准。</w:t>
      </w:r>
    </w:p>
    <w:p w14:paraId="7803D029">
      <w:pPr>
        <w:tabs>
          <w:tab w:val="left" w:pos="1280"/>
        </w:tabs>
        <w:spacing w:line="560" w:lineRule="exact"/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入库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时乙方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须附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供应批次有效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质检报告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。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若乙方不能提供，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由此造成的损失将由乙方全部承担。</w:t>
      </w:r>
    </w:p>
    <w:p w14:paraId="07CB2707"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="0" w:leftChars="0" w:firstLine="640" w:firstLineChars="200"/>
        <w:textAlignment w:val="auto"/>
        <w:rPr>
          <w:rFonts w:hint="eastAsia" w:ascii="黑体" w:hAnsi="黑体" w:eastAsia="黑体" w:cs="仿宋"/>
          <w:sz w:val="32"/>
          <w:szCs w:val="32"/>
          <w:lang w:val="en-US" w:eastAsia="zh-CN"/>
        </w:rPr>
      </w:pPr>
      <w:r>
        <w:rPr>
          <w:rFonts w:hint="eastAsia" w:ascii="黑体" w:hAnsi="黑体" w:eastAsia="黑体" w:cs="仿宋"/>
          <w:sz w:val="32"/>
          <w:szCs w:val="32"/>
          <w:lang w:val="en-US" w:eastAsia="zh-CN"/>
        </w:rPr>
        <w:t>入库时间</w:t>
      </w:r>
    </w:p>
    <w:p w14:paraId="359E12B8"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Chars="200" w:firstLine="320" w:firstLineChars="1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u w:val="singl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/>
          <w:lang w:val="en-US" w:eastAsia="zh-CN" w:bidi="ar-SA"/>
        </w:rPr>
        <w:t>2025年XX月XX日至2025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/>
          <w:lang w:val="en-US" w:eastAsia="zh-CN" w:bidi="ar-SA"/>
        </w:rPr>
        <w:t>年XX月XX日。</w:t>
      </w:r>
    </w:p>
    <w:p w14:paraId="61F0FAE4">
      <w:pPr>
        <w:numPr>
          <w:ilvl w:val="0"/>
          <w:numId w:val="1"/>
        </w:numPr>
        <w:ind w:left="0" w:leftChars="0" w:firstLine="640" w:firstLineChars="200"/>
        <w:rPr>
          <w:rFonts w:hint="eastAsia" w:ascii="黑体" w:hAnsi="黑体" w:eastAsia="黑体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仿宋"/>
          <w:kern w:val="2"/>
          <w:sz w:val="32"/>
          <w:szCs w:val="32"/>
          <w:lang w:val="en-US" w:eastAsia="zh-CN" w:bidi="ar-SA"/>
        </w:rPr>
        <w:t>协议有效期</w:t>
      </w:r>
    </w:p>
    <w:p w14:paraId="390B35D5">
      <w:pPr>
        <w:pStyle w:val="3"/>
        <w:numPr>
          <w:ilvl w:val="0"/>
          <w:numId w:val="0"/>
        </w:numPr>
        <w:ind w:left="0" w:leftChars="0" w:firstLine="420" w:firstLineChars="200"/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highlight w:val="yellow"/>
          <w:lang w:val="en-US" w:eastAsia="zh-CN" w:bidi="ar-SA"/>
        </w:rPr>
      </w:pPr>
      <w:r>
        <w:rPr>
          <w:rFonts w:hint="eastAsia"/>
          <w:lang w:val="en-US" w:eastAsia="zh-CN"/>
        </w:rPr>
        <w:t xml:space="preserve">  </w:t>
      </w: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本协议有效期自甲乙双方签订之日起至XX吨成品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粮/油</w:t>
      </w: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转为市级储备粮并完成移交时止。</w:t>
      </w:r>
    </w:p>
    <w:p w14:paraId="2DFE1112"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textAlignment w:val="auto"/>
        <w:rPr>
          <w:rFonts w:hint="eastAsia" w:ascii="黑体" w:hAnsi="黑体" w:eastAsia="黑体" w:cs="仿宋"/>
          <w:sz w:val="32"/>
          <w:szCs w:val="32"/>
          <w:lang w:val="en-US" w:eastAsia="zh-CN"/>
        </w:rPr>
      </w:pPr>
      <w:r>
        <w:rPr>
          <w:rFonts w:hint="eastAsia" w:ascii="黑体" w:hAnsi="黑体" w:eastAsia="黑体" w:cs="仿宋"/>
          <w:sz w:val="32"/>
          <w:szCs w:val="32"/>
          <w:lang w:val="en-US" w:eastAsia="zh-CN"/>
        </w:rPr>
        <w:t>五、入库地点</w:t>
      </w:r>
    </w:p>
    <w:p w14:paraId="48704F66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="0" w:leftChars="0" w:firstLine="640" w:firstLineChars="200"/>
        <w:textAlignment w:val="auto"/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XXXX。</w:t>
      </w:r>
    </w:p>
    <w:p w14:paraId="561BE17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textAlignment w:val="auto"/>
        <w:rPr>
          <w:rFonts w:hint="default" w:ascii="黑体" w:hAnsi="黑体" w:eastAsia="黑体" w:cs="仿宋"/>
          <w:sz w:val="32"/>
          <w:szCs w:val="32"/>
          <w:lang w:val="en-US" w:eastAsia="zh-CN"/>
        </w:rPr>
      </w:pPr>
      <w:r>
        <w:rPr>
          <w:rFonts w:hint="eastAsia" w:ascii="黑体" w:hAnsi="黑体" w:eastAsia="黑体" w:cs="仿宋"/>
          <w:sz w:val="32"/>
          <w:szCs w:val="32"/>
          <w:lang w:val="en-US" w:eastAsia="zh-CN"/>
        </w:rPr>
        <w:t>六、付款方式及付款要求</w:t>
      </w:r>
    </w:p>
    <w:p w14:paraId="2501DF62">
      <w:pPr>
        <w:widowControl/>
        <w:spacing w:line="600" w:lineRule="atLeast"/>
        <w:ind w:firstLine="645"/>
        <w:jc w:val="left"/>
        <w:rPr>
          <w:rFonts w:hint="eastAsia" w:ascii="方正仿宋_GB2312" w:hAnsi="方正仿宋_GB2312" w:eastAsia="方正仿宋_GB2312" w:cs="方正仿宋_GB231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color w:val="000000"/>
          <w:kern w:val="0"/>
          <w:sz w:val="32"/>
          <w:szCs w:val="32"/>
          <w:highlight w:val="none"/>
          <w:lang w:val="en-US" w:eastAsia="zh-CN"/>
        </w:rPr>
        <w:t>入库完毕且农发行贷款到账后，采购方支付至总货款的25%；综合验收通过转为市级储备粮且农发行贷款到账，采购方提交完毕相关付款资料后5个工作日之内支付剩余货款。</w:t>
      </w: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乙方需提交相应数量的入库单据、质检报告和发票等资料。</w:t>
      </w:r>
    </w:p>
    <w:p w14:paraId="3687B2BC">
      <w:pPr>
        <w:pStyle w:val="3"/>
        <w:numPr>
          <w:ilvl w:val="0"/>
          <w:numId w:val="2"/>
        </w:numPr>
        <w:ind w:left="0" w:leftChars="0" w:firstLine="640" w:firstLineChars="200"/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验收</w:t>
      </w:r>
    </w:p>
    <w:p w14:paraId="0065003F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="0" w:leftChars="0" w:firstLine="640" w:firstLineChars="200"/>
        <w:textAlignment w:val="auto"/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甲方采购的该批成品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粮/油</w:t>
      </w: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入库时，甲方监管人员现场对入库成品粮各批次质检报告、数量、包装物及标签标识等</w:t>
      </w: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highlight w:val="none"/>
          <w:lang w:val="en-US" w:eastAsia="zh-CN" w:bidi="ar-SA"/>
        </w:rPr>
        <w:t>按省、市各级成品粮政策要求进行核验，核验无误后可预入库。</w:t>
      </w: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全部预入库完毕后，由贵阳市粮食和物资储备局组织综合验收，转为市级储备粮并移交给乙方纳入代储管理；</w:t>
      </w:r>
    </w:p>
    <w:p w14:paraId="50B90DB3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="0" w:leftChars="0" w:firstLine="640" w:firstLineChars="200"/>
        <w:textAlignment w:val="auto"/>
        <w:rPr>
          <w:rFonts w:hint="eastAsia" w:ascii="方正仿宋_GB2312" w:hAnsi="方正仿宋_GB2312" w:eastAsia="方正仿宋_GB2312" w:cs="方正仿宋_GB2312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不合格的甲方作退货处理，退货由乙方自行处置。</w:t>
      </w:r>
      <w:r>
        <w:rPr>
          <w:rFonts w:hint="eastAsia" w:ascii="方正仿宋_GB2312" w:hAnsi="方正仿宋_GB2312" w:eastAsia="方正仿宋_GB2312" w:cs="方正仿宋_GB2312"/>
          <w:color w:val="auto"/>
          <w:kern w:val="2"/>
          <w:sz w:val="32"/>
          <w:szCs w:val="32"/>
          <w:highlight w:val="none"/>
          <w:lang w:val="en-US" w:eastAsia="zh-CN" w:bidi="ar-SA"/>
        </w:rPr>
        <w:t>乙方应在甲方规定时间内完成退货和重新入库工作。如乙方换货后，不合格，乙方须全额退还甲方已支付货款，并承担一切责任及损失。</w:t>
      </w:r>
    </w:p>
    <w:p w14:paraId="6EF1AC4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textAlignment w:val="auto"/>
        <w:rPr>
          <w:rFonts w:hint="default" w:ascii="黑体" w:hAnsi="黑体" w:eastAsia="黑体" w:cs="仿宋"/>
          <w:sz w:val="32"/>
          <w:szCs w:val="32"/>
          <w:lang w:val="en-US" w:eastAsia="zh-CN"/>
        </w:rPr>
      </w:pPr>
      <w:r>
        <w:rPr>
          <w:rFonts w:hint="eastAsia" w:ascii="黑体" w:hAnsi="黑体" w:eastAsia="黑体" w:cs="仿宋"/>
          <w:sz w:val="32"/>
          <w:szCs w:val="32"/>
          <w:lang w:val="en-US" w:eastAsia="zh-CN"/>
        </w:rPr>
        <w:t>八、责任和义务</w:t>
      </w:r>
    </w:p>
    <w:p w14:paraId="1DBF5FBA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="0" w:leftChars="0" w:firstLine="640" w:firstLineChars="200"/>
        <w:textAlignment w:val="auto"/>
        <w:rPr>
          <w:rFonts w:hint="eastAsia" w:ascii="方正仿宋_GB2312" w:hAnsi="方正仿宋_GB2312" w:eastAsia="方正仿宋_GB2312" w:cs="方正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（一）</w:t>
      </w:r>
      <w:r>
        <w:rPr>
          <w:rFonts w:hint="eastAsia" w:ascii="方正仿宋_GB2312" w:hAnsi="方正仿宋_GB2312" w:eastAsia="方正仿宋_GB2312" w:cs="方正仿宋_GB2312"/>
          <w:color w:val="000000"/>
          <w:kern w:val="0"/>
          <w:sz w:val="32"/>
          <w:szCs w:val="32"/>
          <w:highlight w:val="none"/>
          <w:lang w:val="en-US" w:eastAsia="zh-CN"/>
        </w:rPr>
        <w:t>入库完毕且农发行贷款到账后，采购方支付至总货款的25%，综合验收通过转为市级储备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粮/油</w:t>
      </w:r>
      <w:r>
        <w:rPr>
          <w:rFonts w:hint="eastAsia" w:ascii="方正仿宋_GB2312" w:hAnsi="方正仿宋_GB2312" w:eastAsia="方正仿宋_GB2312" w:cs="方正仿宋_GB2312"/>
          <w:color w:val="000000"/>
          <w:kern w:val="0"/>
          <w:sz w:val="32"/>
          <w:szCs w:val="32"/>
          <w:highlight w:val="none"/>
          <w:lang w:val="en-US" w:eastAsia="zh-CN"/>
        </w:rPr>
        <w:t>且采购方提交完毕相关付款资料后5个工作日内支付剩余货款。</w:t>
      </w:r>
      <w:r>
        <w:rPr>
          <w:rFonts w:hint="eastAsia" w:ascii="方正仿宋_GB2312" w:hAnsi="方正仿宋_GB2312" w:eastAsia="方正仿宋_GB2312" w:cs="方正仿宋_GB2312"/>
          <w:color w:val="auto"/>
          <w:kern w:val="2"/>
          <w:sz w:val="32"/>
          <w:szCs w:val="32"/>
          <w:lang w:val="en-US" w:eastAsia="zh-CN" w:bidi="ar-SA"/>
        </w:rPr>
        <w:t>甲方如未按时支付，每日按应付未付金额的0.3‰支付违约金至清偿之日。</w:t>
      </w:r>
    </w:p>
    <w:p w14:paraId="0212A654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="0" w:leftChars="0" w:firstLine="640" w:firstLineChars="200"/>
        <w:textAlignment w:val="auto"/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（二）收到中标通知书之日起，乙方须拟定入库计划交给甲方，并按计划入库。</w:t>
      </w: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highlight w:val="none"/>
          <w:lang w:val="en-US" w:eastAsia="zh-CN" w:bidi="ar-SA"/>
        </w:rPr>
        <w:t>如乙方未按计划入库的，每日按应入未入数量对应货款的0.5‰支付给甲方至完成该笔货物交割，且乙方须承担相应责任。</w:t>
      </w:r>
    </w:p>
    <w:p w14:paraId="03A8B4C6">
      <w:pPr>
        <w:widowControl/>
        <w:spacing w:line="600" w:lineRule="atLeast"/>
        <w:ind w:firstLine="640" w:firstLineChars="200"/>
        <w:jc w:val="left"/>
        <w:rPr>
          <w:rFonts w:hint="eastAsia" w:ascii="方正仿宋_GB2312" w:hAnsi="方正仿宋_GB2312" w:eastAsia="方正仿宋_GB2312" w:cs="方正仿宋_GB2312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（三）甲乙双方在签订本协议前，</w:t>
      </w:r>
      <w:r>
        <w:rPr>
          <w:rFonts w:hint="eastAsia" w:ascii="方正仿宋_GB2312" w:hAnsi="方正仿宋_GB2312" w:eastAsia="方正仿宋_GB2312" w:cs="方正仿宋_GB2312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成交人须向采购方缴纳货款总金额5%的资金作为履约保证金，入库完毕经采购方上级粮权主管部门委托的第三方综合扦样，并出具检测结果为合格的质检报告，转为市级储备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粮/油</w:t>
      </w:r>
      <w:r>
        <w:rPr>
          <w:rFonts w:hint="eastAsia" w:ascii="方正仿宋_GB2312" w:hAnsi="方正仿宋_GB2312" w:eastAsia="方正仿宋_GB2312" w:cs="方正仿宋_GB2312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后，按规定完成移交后5个工作日内全额无息退还给成交人。</w:t>
      </w:r>
    </w:p>
    <w:p w14:paraId="7805929E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="0" w:leftChars="0" w:firstLine="640" w:firstLineChars="200"/>
        <w:textAlignment w:val="auto"/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（四）本协议须和《成品粮油储备委托储存协议书》同时签订。</w:t>
      </w:r>
    </w:p>
    <w:p w14:paraId="384C5B41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="0" w:leftChars="0" w:firstLine="640" w:firstLineChars="200"/>
        <w:textAlignment w:val="auto"/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（五）入库前，乙方应对入库工作相关人员（包含但不限于司机、装卸工等一切和入库相关的工作人员）做好安全生产相关培训，入库时发生的一切安全责任或事故引发的法律责任、纠纷及赔偿等，由乙方全部承担。</w:t>
      </w:r>
    </w:p>
    <w:p w14:paraId="0F066D09">
      <w:pPr>
        <w:pStyle w:val="3"/>
        <w:ind w:left="0" w:leftChars="0" w:firstLine="640" w:firstLineChars="200"/>
        <w:rPr>
          <w:rFonts w:hint="eastAsia" w:ascii="黑体" w:hAnsi="黑体" w:eastAsia="黑体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仿宋"/>
          <w:kern w:val="2"/>
          <w:sz w:val="32"/>
          <w:szCs w:val="32"/>
          <w:lang w:val="en-US" w:eastAsia="zh-CN" w:bidi="ar-SA"/>
        </w:rPr>
        <w:t>九、保证金退还</w:t>
      </w:r>
    </w:p>
    <w:p w14:paraId="0F289AAE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="0" w:leftChars="0" w:firstLine="640" w:firstLineChars="200"/>
        <w:textAlignment w:val="auto"/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1.因不可抗力因素导致本合同无法正常履行，双方解除合同后甲方全额无息退还乙方缴纳的保证金；</w:t>
      </w:r>
    </w:p>
    <w:p w14:paraId="4E84A4E1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="0" w:leftChars="0" w:firstLine="640" w:firstLineChars="200"/>
        <w:textAlignment w:val="auto"/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2.若因甲方上级主管部门政策性调整该批成品粮数量，甲方按本协议保证金收取标准收取调整后数量的保证金，多收部分甲方无息退还乙方。</w:t>
      </w:r>
    </w:p>
    <w:p w14:paraId="13FCE63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textAlignment w:val="auto"/>
        <w:rPr>
          <w:rFonts w:hint="eastAsia" w:ascii="黑体" w:hAnsi="黑体" w:eastAsia="黑体" w:cs="仿宋"/>
          <w:sz w:val="32"/>
          <w:szCs w:val="32"/>
          <w:lang w:val="en-US" w:eastAsia="zh-CN"/>
        </w:rPr>
      </w:pPr>
      <w:r>
        <w:rPr>
          <w:rFonts w:hint="eastAsia" w:ascii="黑体" w:hAnsi="黑体" w:eastAsia="黑体" w:cs="仿宋"/>
          <w:sz w:val="32"/>
          <w:szCs w:val="32"/>
          <w:lang w:val="en-US" w:eastAsia="zh-CN"/>
        </w:rPr>
        <w:t>十、违约责任</w:t>
      </w:r>
    </w:p>
    <w:p w14:paraId="1ABE1267">
      <w:pPr>
        <w:pStyle w:val="3"/>
        <w:ind w:left="0" w:leftChars="0" w:firstLine="640" w:firstLineChars="200"/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本协议一经签订，甲乙双方须共同遵守，如发生违约，违约方除承担相应责任和损失外，还须以本协议总金额的</w:t>
      </w:r>
      <w:r>
        <w:rPr>
          <w:rFonts w:hint="eastAsia" w:ascii="方正仿宋_GB2312" w:hAnsi="方正仿宋_GB2312" w:eastAsia="方正仿宋_GB2312" w:cs="方正仿宋_GB2312"/>
          <w:color w:val="auto"/>
          <w:kern w:val="2"/>
          <w:sz w:val="32"/>
          <w:szCs w:val="32"/>
          <w:lang w:val="en-US" w:eastAsia="zh-CN" w:bidi="ar-SA"/>
        </w:rPr>
        <w:t>3‰</w:t>
      </w: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作为违约金，支付给守约方。</w:t>
      </w:r>
    </w:p>
    <w:p w14:paraId="63380B2E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仿宋"/>
          <w:sz w:val="32"/>
          <w:szCs w:val="32"/>
          <w:lang w:val="en-US" w:eastAsia="zh-CN"/>
        </w:rPr>
      </w:pPr>
      <w:r>
        <w:rPr>
          <w:rFonts w:hint="eastAsia" w:ascii="黑体" w:hAnsi="黑体" w:eastAsia="黑体" w:cs="仿宋"/>
          <w:sz w:val="32"/>
          <w:szCs w:val="32"/>
          <w:lang w:val="en-US" w:eastAsia="zh-CN"/>
        </w:rPr>
        <w:t>十一、解决协议纠纷的方式</w:t>
      </w:r>
    </w:p>
    <w:p w14:paraId="665788A9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1.本协议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未尽事宜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，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双方另行商定补充，补充协议和本协议具有同等法律效力。</w:t>
      </w:r>
    </w:p>
    <w:p w14:paraId="5CE89CF2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2.在协议执行过程中，双方发生争议，由双方协商解决，协商不成，可向甲方所在地有管辖权的人民法院提起诉讼。</w:t>
      </w:r>
    </w:p>
    <w:p w14:paraId="5FAEA74D">
      <w:pPr>
        <w:spacing w:line="560" w:lineRule="exact"/>
        <w:ind w:firstLine="640" w:firstLineChars="200"/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仿宋"/>
          <w:sz w:val="32"/>
          <w:szCs w:val="32"/>
          <w:lang w:val="en-US" w:eastAsia="zh-CN"/>
        </w:rPr>
        <w:t>十二、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本协议一式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陆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份，甲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、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乙双方各执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val="en-US" w:eastAsia="zh-CN"/>
        </w:rPr>
        <w:t>叁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</w:rPr>
        <w:t>份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eastAsia="zh-CN"/>
        </w:rPr>
        <w:t>。</w:t>
      </w:r>
      <w: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本协议与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highlight w:val="none"/>
          <w:lang w:val="en-US" w:eastAsia="zh-CN"/>
        </w:rPr>
        <w:t>《成品粮油储备委托储存协议书》作为本项目的两个部分，均</w:t>
      </w:r>
      <w: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须双方法定代表人或其委托代理人盖章或签字，并加盖单位公章后生效。授权委托代理人签订的，需附授权委托书。</w:t>
      </w:r>
    </w:p>
    <w:p w14:paraId="3398F168"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</w:p>
    <w:p w14:paraId="5E6C3B34">
      <w:pPr>
        <w:spacing w:before="0" w:after="0" w:line="560" w:lineRule="exact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甲方（盖章）：                  乙方（盖章）：</w:t>
      </w:r>
    </w:p>
    <w:p w14:paraId="00ACBE62">
      <w:pPr>
        <w:spacing w:before="0" w:after="0" w:line="560" w:lineRule="exact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代表（签字）：                  代表（签字）：</w:t>
      </w:r>
    </w:p>
    <w:p w14:paraId="782CECCC">
      <w:pPr>
        <w:spacing w:line="560" w:lineRule="exact"/>
        <w:ind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委托代理人（签字）：            委托代理人（签字）：</w:t>
      </w:r>
    </w:p>
    <w:p w14:paraId="54F73660">
      <w:pPr>
        <w:spacing w:line="560" w:lineRule="exact"/>
        <w:ind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 w14:paraId="7E1D28F2">
      <w:pPr>
        <w:spacing w:line="560" w:lineRule="exact"/>
        <w:ind w:firstLine="640" w:firstLineChars="200"/>
        <w:jc w:val="both"/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签订日期        </w:t>
      </w:r>
      <w:r>
        <w:rPr>
          <w:rFonts w:hint="eastAsia" w:ascii="仿宋" w:hAnsi="仿宋" w:eastAsia="仿宋" w:cs="仿宋"/>
          <w:sz w:val="32"/>
          <w:szCs w:val="32"/>
        </w:rPr>
        <w:t>年     月    日</w:t>
      </w:r>
    </w:p>
    <w:p w14:paraId="143FC4C4"/>
    <w:p w14:paraId="574F598D">
      <w:pPr>
        <w:pStyle w:val="2"/>
      </w:pPr>
    </w:p>
    <w:p w14:paraId="6C9C6FD2">
      <w:pPr>
        <w:pStyle w:val="2"/>
      </w:pPr>
    </w:p>
    <w:sectPr>
      <w:footerReference r:id="rId3" w:type="default"/>
      <w:pgSz w:w="11906" w:h="16838"/>
      <w:pgMar w:top="1418" w:right="1418" w:bottom="1418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A374078-EA1D-43D9-A122-02561593874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AC61A87E-F754-4C12-B705-D946ECF640CC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A9AD2921-8E34-4BE0-83BB-9D37B6B8B9E4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1D82B2EF-6B7F-46F1-9187-CE07BE0859F7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5" w:fontKey="{426133DB-53AA-4DC2-85A4-D477292E6940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6" w:fontKey="{E968B94E-CC8E-445A-93F5-CBD5B898459E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7" w:fontKey="{987A6061-E974-43C6-B993-0F9D991B7C67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D05508B">
    <w:pPr>
      <w:pStyle w:val="5"/>
    </w:pPr>
    <w:r>
      <w:rPr>
        <w:sz w:val="18"/>
      </w:rP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14:paraId="3BD0206C"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C5dblS0AAAAAUBAAAPAAAAAAAAAAEAIAAAACIAAABkcnMvZG93bnJldi54bWxQSwEC&#10;FAAUAAAACACHTuJAsZ3ELcMBAACHAwAADgAAAAAAAAABACAAAAAfAQAAZHJzL2Uyb0RvYy54bWxQ&#10;SwUGAAAAAAYABgBZAQAAV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3BD0206C"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0"/>
    <w:multiLevelType w:val="singleLevel"/>
    <w:tmpl w:val="00000000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0000001"/>
    <w:multiLevelType w:val="singleLevel"/>
    <w:tmpl w:val="00000001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MwMmE5ZDZhMGI4OTMyNjdmOTViOTg4MWE0NTdmMDgifQ=="/>
  </w:docVars>
  <w:rsids>
    <w:rsidRoot w:val="00000000"/>
    <w:rsid w:val="02AE1145"/>
    <w:rsid w:val="07B24E1C"/>
    <w:rsid w:val="13F310AE"/>
    <w:rsid w:val="1CE97275"/>
    <w:rsid w:val="1E963A69"/>
    <w:rsid w:val="23AC621F"/>
    <w:rsid w:val="26BE379D"/>
    <w:rsid w:val="26F74481"/>
    <w:rsid w:val="2D8F67AE"/>
    <w:rsid w:val="307153DD"/>
    <w:rsid w:val="309D61D2"/>
    <w:rsid w:val="334868C9"/>
    <w:rsid w:val="37CB5D1A"/>
    <w:rsid w:val="42D61EBF"/>
    <w:rsid w:val="43D16466"/>
    <w:rsid w:val="48F6071D"/>
    <w:rsid w:val="49431BB4"/>
    <w:rsid w:val="4E802F63"/>
    <w:rsid w:val="5B8F41E3"/>
    <w:rsid w:val="5BED3C02"/>
    <w:rsid w:val="5D0E4741"/>
    <w:rsid w:val="66BC4750"/>
    <w:rsid w:val="692D388F"/>
    <w:rsid w:val="6FC55D8D"/>
    <w:rsid w:val="7B9944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99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qFormat/>
    <w:uiPriority w:val="0"/>
  </w:style>
  <w:style w:type="table" w:default="1" w:styleId="7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  <w:rPr>
      <w:rFonts w:ascii="Calibri" w:hAnsi="Calibri" w:cs="Calibri"/>
    </w:rPr>
  </w:style>
  <w:style w:type="paragraph" w:styleId="3">
    <w:name w:val="table of authorities"/>
    <w:basedOn w:val="1"/>
    <w:next w:val="1"/>
    <w:qFormat/>
    <w:uiPriority w:val="99"/>
    <w:pPr>
      <w:widowControl w:val="0"/>
      <w:ind w:left="420" w:leftChars="200"/>
    </w:pPr>
    <w:rPr>
      <w:rFonts w:ascii="Calibri" w:hAnsi="Calibri"/>
    </w:rPr>
  </w:style>
  <w:style w:type="paragraph" w:styleId="4">
    <w:name w:val="annotation text"/>
    <w:basedOn w:val="1"/>
    <w:qFormat/>
    <w:uiPriority w:val="0"/>
    <w:pPr>
      <w:jc w:val="left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toc 1"/>
    <w:basedOn w:val="1"/>
    <w:next w:val="1"/>
    <w:qFormat/>
    <w:uiPriority w:val="39"/>
    <w:pPr>
      <w:tabs>
        <w:tab w:val="right" w:leader="dot" w:pos="9061"/>
      </w:tabs>
      <w:spacing w:beforeLines="100" w:afterLines="50"/>
      <w:jc w:val="center"/>
    </w:pPr>
    <w:rPr>
      <w:rFonts w:ascii="黑体" w:hAnsi="黑体" w:eastAsia="黑体"/>
      <w:sz w:val="30"/>
      <w:szCs w:val="3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1645</Words>
  <Characters>1718</Characters>
  <Paragraphs>86</Paragraphs>
  <TotalTime>6</TotalTime>
  <ScaleCrop>false</ScaleCrop>
  <LinksUpToDate>false</LinksUpToDate>
  <CharactersWithSpaces>1790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2023-02-23T06:19:00Z</dcterms:created>
  <dc:creator>高翔</dc:creator>
  <cp:lastModifiedBy>86176</cp:lastModifiedBy>
  <dcterms:modified xsi:type="dcterms:W3CDTF">2025-03-14T08:06:53Z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FF62F6639BB24483B5C68DC661477C1A_13</vt:lpwstr>
  </property>
  <property fmtid="{D5CDD505-2E9C-101B-9397-08002B2CF9AE}" pid="4" name="KSOTemplateDocerSaveRecord">
    <vt:lpwstr>eyJoZGlkIjoiNWM0MTI4NmUzMTg0YzMzZDcwYTA1NzM2Zjc0ZTNjMjQifQ==</vt:lpwstr>
  </property>
</Properties>
</file>