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A56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3C5E84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7F9AEA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110F533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29DE06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B36D02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797CA8E5">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7576EAB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08BD06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E5128C">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C16DD43">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D954C98">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8750064">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7490F2E">
      <w:pPr>
        <w:rPr>
          <w:rFonts w:ascii="仿宋" w:eastAsia="仿宋"/>
          <w:b/>
          <w:bCs/>
          <w:color w:val="000000"/>
          <w:kern w:val="0"/>
          <w:sz w:val="40"/>
          <w:szCs w:val="40"/>
          <w:highlight w:val="none"/>
        </w:rPr>
      </w:pPr>
    </w:p>
    <w:p w14:paraId="3A3F6A2E">
      <w:pPr>
        <w:pStyle w:val="2"/>
        <w:rPr>
          <w:rFonts w:ascii="仿宋" w:eastAsia="仿宋"/>
          <w:b/>
          <w:bCs/>
          <w:color w:val="000000"/>
          <w:kern w:val="0"/>
          <w:sz w:val="40"/>
          <w:szCs w:val="40"/>
          <w:highlight w:val="none"/>
        </w:rPr>
      </w:pPr>
    </w:p>
    <w:p w14:paraId="19564EDF"/>
    <w:p w14:paraId="471DD44B">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A0624D2">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5144BDD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E74E3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045532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p>
    <w:p w14:paraId="6F260D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bookmarkStart w:id="0" w:name="_GoBack"/>
      <w:bookmarkEnd w:id="0"/>
      <w:r>
        <w:rPr>
          <w:rFonts w:hint="eastAsia" w:ascii="方正仿宋_GB2312" w:hAnsi="方正仿宋_GB2312" w:eastAsia="方正仿宋_GB2312" w:cs="方正仿宋_GB2312"/>
          <w:sz w:val="32"/>
          <w:szCs w:val="32"/>
          <w:highlight w:val="none"/>
        </w:rPr>
        <w:t>甲方：贵阳市粮食储备管理有限公司</w:t>
      </w:r>
    </w:p>
    <w:p w14:paraId="370BF8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42B0103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粮/油XX吨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市级储备成品油</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44D3C6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08485C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市级储备成品粮/油</w:t>
      </w:r>
      <w:r>
        <w:rPr>
          <w:rFonts w:hint="eastAsia" w:ascii="方正仿宋_GB2312" w:hAnsi="方正仿宋_GB2312" w:eastAsia="方正仿宋_GB2312" w:cs="方正仿宋_GB2312"/>
          <w:sz w:val="32"/>
          <w:szCs w:val="32"/>
          <w:highlight w:val="none"/>
          <w:lang w:val="en-US" w:eastAsia="zh-CN"/>
        </w:rPr>
        <w:t>共计</w:t>
      </w:r>
      <w:r>
        <w:rPr>
          <w:rFonts w:hint="eastAsia" w:ascii="方正仿宋_GB2312" w:hAnsi="方正仿宋_GB2312" w:eastAsia="方正仿宋_GB2312" w:cs="方正仿宋_GB2312"/>
          <w:color w:val="auto"/>
          <w:sz w:val="32"/>
          <w:szCs w:val="32"/>
          <w:highlight w:val="none"/>
          <w:lang w:val="en-US" w:eastAsia="zh-CN"/>
        </w:rPr>
        <w:t>XX吨</w:t>
      </w:r>
      <w:r>
        <w:rPr>
          <w:rFonts w:hint="eastAsia" w:ascii="方正仿宋_GB2312" w:hAnsi="方正仿宋_GB2312" w:eastAsia="方正仿宋_GB2312" w:cs="方正仿宋_GB2312"/>
          <w:sz w:val="32"/>
          <w:szCs w:val="32"/>
          <w:highlight w:val="none"/>
          <w:lang w:val="en-US" w:eastAsia="zh-CN"/>
        </w:rPr>
        <w:t>，规格为XX吨。</w:t>
      </w:r>
    </w:p>
    <w:p w14:paraId="53627175">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004"/>
        <w:gridCol w:w="1475"/>
        <w:gridCol w:w="2013"/>
        <w:gridCol w:w="2457"/>
      </w:tblGrid>
      <w:tr w14:paraId="3A64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67" w:type="dxa"/>
            <w:noWrap/>
          </w:tcPr>
          <w:p w14:paraId="66C51C4A">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004" w:type="dxa"/>
            <w:noWrap/>
          </w:tcPr>
          <w:p w14:paraId="3486E8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D1D97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6638D55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7C6D54D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3F23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67" w:type="dxa"/>
            <w:tcBorders>
              <w:top w:val="single" w:color="auto" w:sz="4" w:space="0"/>
              <w:left w:val="single" w:color="auto" w:sz="4" w:space="0"/>
              <w:bottom w:val="single" w:color="auto" w:sz="4" w:space="0"/>
              <w:right w:val="single" w:color="auto" w:sz="4" w:space="0"/>
            </w:tcBorders>
            <w:noWrap/>
            <w:vAlign w:val="top"/>
          </w:tcPr>
          <w:p w14:paraId="021429B8">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004" w:type="dxa"/>
            <w:tcBorders>
              <w:top w:val="single" w:color="auto" w:sz="4" w:space="0"/>
              <w:left w:val="single" w:color="auto" w:sz="4" w:space="0"/>
              <w:bottom w:val="single" w:color="auto" w:sz="4" w:space="0"/>
              <w:right w:val="single" w:color="auto" w:sz="4" w:space="0"/>
            </w:tcBorders>
            <w:noWrap/>
            <w:vAlign w:val="top"/>
          </w:tcPr>
          <w:p w14:paraId="765A9D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p>
        </w:tc>
        <w:tc>
          <w:tcPr>
            <w:tcW w:w="1475" w:type="dxa"/>
            <w:tcBorders>
              <w:top w:val="single" w:color="auto" w:sz="4" w:space="0"/>
              <w:left w:val="single" w:color="auto" w:sz="4" w:space="0"/>
              <w:bottom w:val="single" w:color="auto" w:sz="4" w:space="0"/>
              <w:right w:val="single" w:color="auto" w:sz="4" w:space="0"/>
            </w:tcBorders>
            <w:noWrap/>
            <w:vAlign w:val="top"/>
          </w:tcPr>
          <w:p w14:paraId="2327C056">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vAlign w:val="top"/>
          </w:tcPr>
          <w:p w14:paraId="5BB4BD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vAlign w:val="top"/>
          </w:tcPr>
          <w:p w14:paraId="38F174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1FE4AB47">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033A8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质量标准：质量标准</w:t>
      </w:r>
      <w:r>
        <w:rPr>
          <w:rFonts w:hint="eastAsia" w:ascii="方正仿宋_GB2312" w:hAnsi="方正仿宋_GB2312" w:eastAsia="方正仿宋_GB2312" w:cs="方正仿宋_GB2312"/>
          <w:sz w:val="32"/>
          <w:szCs w:val="32"/>
          <w:lang w:val="en-US" w:eastAsia="zh-CN"/>
        </w:rPr>
        <w:t>质量符合国标XX标准，</w:t>
      </w:r>
      <w:r>
        <w:rPr>
          <w:rFonts w:hint="eastAsia" w:ascii="方正仿宋_GB2312" w:hAnsi="方正仿宋_GB2312" w:eastAsia="方正仿宋_GB2312" w:cs="方正仿宋_GB2312"/>
          <w:sz w:val="32"/>
          <w:szCs w:val="32"/>
        </w:rPr>
        <w:t>卫生指标符合国家食品安全标准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color w:val="auto"/>
          <w:sz w:val="32"/>
          <w:szCs w:val="32"/>
        </w:rPr>
        <w:t>食品标签符合GB7718-2011标准。</w:t>
      </w:r>
    </w:p>
    <w:p w14:paraId="39B7112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lang w:val="en-US"/>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C29EAE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5A4A9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代储市级储备成品粮/</w:t>
      </w:r>
      <w:r>
        <w:rPr>
          <w:rFonts w:hint="eastAsia" w:ascii="方正仿宋_GB2312" w:hAnsi="方正仿宋_GB2312" w:eastAsia="方正仿宋_GB2312" w:cs="方正仿宋_GB2312"/>
          <w:sz w:val="32"/>
          <w:szCs w:val="32"/>
          <w:highlight w:val="none"/>
          <w:lang w:val="en-US" w:eastAsia="zh-CN"/>
        </w:rPr>
        <w:t>油符合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9266B7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油库存数量不低于代储数量的90%（即XX吨），且质量不得低于第一次采购入库验收的等级标准。</w:t>
      </w:r>
    </w:p>
    <w:p w14:paraId="0FC16D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油必须提供有效、合格的质检报告。</w:t>
      </w:r>
    </w:p>
    <w:p w14:paraId="5191BD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油包装和标签必须符合国家标准。</w:t>
      </w:r>
    </w:p>
    <w:p w14:paraId="704CA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油规格要求为</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sz w:val="32"/>
          <w:szCs w:val="32"/>
          <w:highlight w:val="none"/>
          <w:lang w:val="en-US" w:eastAsia="zh-CN"/>
        </w:rPr>
        <w:t>（含）及以下。为便于乙方轮换，上述规格在日常动态轮换管理中可适当放宽，原则上符合规格要求的不低于总代储数量的70%（即XX吨）。</w:t>
      </w:r>
    </w:p>
    <w:p w14:paraId="178686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9510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XX</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XX</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72312E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1CD4C8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XX</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51580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4EAC33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714C35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油时，乙方不得以任何理由或方式阻止该批市级储备成品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油的出库。</w:t>
      </w:r>
    </w:p>
    <w:p w14:paraId="7EDD323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油在有效期内至少每年整体轮换1次，质保期为【6】个月的，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质保期为【12】个月的，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【8】</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251A9D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335B9D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14E07AC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 xml:space="preserve">XX </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06C6642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646DB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4BB1812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3E99C0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60D5B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AA9F1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2CC726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油安全时，应立即通知甲方，并采取必要措施，防止事态蔓延，减少经济损失。</w:t>
      </w:r>
    </w:p>
    <w:p w14:paraId="15AFB61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5E3EAD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XX</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。本协议解除后且乙方按照协议约定时限归还该批成品粮期初值，7个工作日内将保证金</w:t>
      </w:r>
      <w:r>
        <w:rPr>
          <w:rFonts w:hint="eastAsia" w:ascii="方正仿宋_GB2312" w:hAnsi="方正仿宋_GB2312" w:eastAsia="方正仿宋_GB2312" w:cs="方正仿宋_GB2312"/>
          <w:sz w:val="32"/>
          <w:szCs w:val="32"/>
          <w:highlight w:val="none"/>
          <w:lang w:val="en-US" w:eastAsia="zh-CN"/>
        </w:rPr>
        <w:t>无</w:t>
      </w:r>
      <w:r>
        <w:rPr>
          <w:rFonts w:hint="eastAsia" w:ascii="方正仿宋_GB2312" w:hAnsi="方正仿宋_GB2312" w:eastAsia="方正仿宋_GB2312" w:cs="方正仿宋_GB2312"/>
          <w:sz w:val="32"/>
          <w:szCs w:val="32"/>
          <w:highlight w:val="none"/>
          <w:lang w:eastAsia="zh-CN"/>
        </w:rPr>
        <w:t>息归还乙方。</w:t>
      </w:r>
    </w:p>
    <w:p w14:paraId="28DBD2F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48907E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00CA2D3B">
      <w:pPr>
        <w:pStyle w:val="2"/>
        <w:keepNext w:val="0"/>
        <w:keepLines w:val="0"/>
        <w:pageBreakBefore w:val="0"/>
        <w:widowControl w:val="0"/>
        <w:kinsoku/>
        <w:wordWrap/>
        <w:overflowPunct/>
        <w:topLinePunct w:val="0"/>
        <w:autoSpaceDE/>
        <w:autoSpaceDN/>
        <w:bidi w:val="0"/>
        <w:adjustRightInd/>
        <w:snapToGrid w:val="0"/>
        <w:spacing w:after="0"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乙方须在签订本协议之日起10个工作日内，按该批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789A90F9">
      <w:pPr>
        <w:pStyle w:val="2"/>
        <w:keepNext w:val="0"/>
        <w:keepLines w:val="0"/>
        <w:pageBreakBefore w:val="0"/>
        <w:widowControl w:val="0"/>
        <w:numPr>
          <w:ilvl w:val="0"/>
          <w:numId w:val="2"/>
        </w:numPr>
        <w:kinsoku/>
        <w:wordWrap/>
        <w:overflowPunct/>
        <w:topLinePunct w:val="0"/>
        <w:autoSpaceDE/>
        <w:autoSpaceDN/>
        <w:bidi w:val="0"/>
        <w:adjustRightInd/>
        <w:snapToGrid w:val="0"/>
        <w:spacing w:after="0"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6D4201D">
      <w:pPr>
        <w:pStyle w:val="2"/>
        <w:keepNext w:val="0"/>
        <w:keepLines w:val="0"/>
        <w:pageBreakBefore w:val="0"/>
        <w:widowControl w:val="0"/>
        <w:kinsoku/>
        <w:wordWrap/>
        <w:overflowPunct/>
        <w:topLinePunct w:val="0"/>
        <w:autoSpaceDE/>
        <w:autoSpaceDN/>
        <w:bidi w:val="0"/>
        <w:adjustRightInd/>
        <w:snapToGrid w:val="0"/>
        <w:spacing w:after="0"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0E3892F5">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（三）担保终止：乙方按该批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592B472">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九、合作期限</w:t>
      </w:r>
    </w:p>
    <w:p w14:paraId="36E0123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为：2025年XX月XX日起至2028年XX月XX日（三年）。甲方根据乙方在代储合同服务期内的库存数量、质量、环境卫生、规范管理、食品安全、经营状况等方面每年进行年度综合评分（以甲方制定的评分标准作为评分依据）。若当年乙方得分低于85分的，甲方有权终止协议且不承担任何违约责任。</w:t>
      </w:r>
    </w:p>
    <w:p w14:paraId="1D271AD8">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如因乙方评分未达85分或其他乙方原因导致本协议提前终止的，乙方应向甲方支付违约金。违约金按照[初始价值]*剩余合同未履约天数（一年按照365天计算）*银行同期年化利率（LPR）的50%计算。针对乙方产生的违约金，甲方有权直接从应支付给乙方的款项中扣除，不足部分从缴纳的履约保证金中扣除，仍不足部分甲方有权向乙方追偿。如因甲方及上级部门政策调整等原因导致合作期限发生变更的，甲方不承担任何责任。</w:t>
      </w:r>
    </w:p>
    <w:p w14:paraId="11387FE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61C9D5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127FE21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3F2412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04CC8FF7">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34A6F6E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D16B07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414DD9E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700EE3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F953E5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3BC22DE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23AE33C0">
      <w:pPr>
        <w:pStyle w:val="2"/>
        <w:ind w:left="0"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9.在合同期限内，</w:t>
      </w:r>
      <w:r>
        <w:rPr>
          <w:rFonts w:hint="eastAsia" w:ascii="方正仿宋_GB2312" w:hAnsi="方正仿宋_GB2312" w:eastAsia="方正仿宋_GB2312" w:cs="方正仿宋_GB2312"/>
          <w:sz w:val="32"/>
          <w:szCs w:val="32"/>
          <w:highlight w:val="none"/>
          <w:lang w:val="en-US" w:eastAsia="zh-CN"/>
        </w:rPr>
        <w:t>库存成品粮的质量达不到甲方交付给乙方的产品的质量标准的；</w:t>
      </w:r>
    </w:p>
    <w:p w14:paraId="4B9A517D">
      <w:pPr>
        <w:pStyle w:val="2"/>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0821C7CC">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（二）出现以下情形，甲方有权罚对乙方进行处罚并没收保证金：</w:t>
      </w:r>
    </w:p>
    <w:p w14:paraId="3E64567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4FF98DB9">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auto"/>
          <w:sz w:val="32"/>
          <w:szCs w:val="32"/>
          <w:highlight w:val="none"/>
          <w:lang w:val="en-US" w:eastAsia="zh-CN"/>
        </w:rPr>
        <w:t>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48472BF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5B4FF63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63A872B2">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4A65B1B2">
      <w:pPr>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6.合同服务期为三年，乙方在合同服务期前提出终止合同的，需支付违约金给甲方，违约金金额按（初始成本÷12÷3）×实际履约月数占比计算。</w:t>
      </w:r>
    </w:p>
    <w:p w14:paraId="6100886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3ED5342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167B7C5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CCCFC7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3957830F">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3C17E8A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初始价值总额¥XX元</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归还甲方农发行账户（账户信息：贵阳市粮食储备管理有限公司，账号：20352010200100000701821，开户行：中国农业发展银行贵阳市南明区支行）。</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0.5</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4573D6A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3557FB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0CE415A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394E92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706BC48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2CB644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51E57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D4D84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4570D8F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24209C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A6FD8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B6A982">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67B0C5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2CDE6A0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13E9DBF9">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F8F22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2F0E537C">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62CB661A">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041D9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53C60E-8D05-4619-AB2D-2781995F31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8D010AD0-6157-40F0-97F1-DF2A46F78874}"/>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3" w:fontKey="{86DE4E95-ED68-4992-840C-2CE14DCCAB1B}"/>
  </w:font>
  <w:font w:name="仿宋">
    <w:panose1 w:val="02010609060101010101"/>
    <w:charset w:val="86"/>
    <w:family w:val="auto"/>
    <w:pitch w:val="default"/>
    <w:sig w:usb0="800002BF" w:usb1="38CF7CFA" w:usb2="00000016" w:usb3="00000000" w:csb0="00040001" w:csb1="00000000"/>
    <w:embedRegular r:id="rId4" w:fontKey="{312D2E26-2993-4EB7-BA73-B6D9F9B0D18E}"/>
  </w:font>
  <w:font w:name="楷体_GB2312">
    <w:panose1 w:val="02010609030101010101"/>
    <w:charset w:val="86"/>
    <w:family w:val="modern"/>
    <w:pitch w:val="default"/>
    <w:sig w:usb0="00000001" w:usb1="080E0000" w:usb2="00000000" w:usb3="00000000" w:csb0="00040000" w:csb1="00000000"/>
    <w:embedRegular r:id="rId5" w:fontKey="{973A119B-489E-400C-B38E-9478674897BD}"/>
  </w:font>
  <w:font w:name="方正仿宋_GB2312">
    <w:panose1 w:val="02000000000000000000"/>
    <w:charset w:val="86"/>
    <w:family w:val="auto"/>
    <w:pitch w:val="default"/>
    <w:sig w:usb0="A00002BF" w:usb1="184F6CFA" w:usb2="00000012" w:usb3="00000000" w:csb0="00040001" w:csb1="00000000"/>
    <w:embedRegular r:id="rId6" w:fontKey="{F365E423-89A0-48BE-9E7A-7D90D3D8A93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3DB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274BDA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274BDA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18856AF"/>
    <w:rsid w:val="027D0F8C"/>
    <w:rsid w:val="04A571CA"/>
    <w:rsid w:val="04FC43EA"/>
    <w:rsid w:val="06912ECA"/>
    <w:rsid w:val="06D27AF8"/>
    <w:rsid w:val="077010BF"/>
    <w:rsid w:val="0A432ABB"/>
    <w:rsid w:val="0C6F1945"/>
    <w:rsid w:val="0CB1042A"/>
    <w:rsid w:val="11044C0C"/>
    <w:rsid w:val="114726F3"/>
    <w:rsid w:val="117B2B3A"/>
    <w:rsid w:val="12F05F0A"/>
    <w:rsid w:val="13FA25F9"/>
    <w:rsid w:val="166126D8"/>
    <w:rsid w:val="190653E0"/>
    <w:rsid w:val="19AA37AE"/>
    <w:rsid w:val="1C625206"/>
    <w:rsid w:val="1E0B5246"/>
    <w:rsid w:val="1E71154D"/>
    <w:rsid w:val="1E8F7C25"/>
    <w:rsid w:val="21B00733"/>
    <w:rsid w:val="21C83B7A"/>
    <w:rsid w:val="235002CB"/>
    <w:rsid w:val="23902475"/>
    <w:rsid w:val="241A4435"/>
    <w:rsid w:val="24646E92"/>
    <w:rsid w:val="25473008"/>
    <w:rsid w:val="270A253F"/>
    <w:rsid w:val="27FF7BCA"/>
    <w:rsid w:val="29101557"/>
    <w:rsid w:val="2B81456D"/>
    <w:rsid w:val="2E89643F"/>
    <w:rsid w:val="30280D23"/>
    <w:rsid w:val="31002819"/>
    <w:rsid w:val="31CD2651"/>
    <w:rsid w:val="33F6DF6A"/>
    <w:rsid w:val="3427076B"/>
    <w:rsid w:val="35EF127D"/>
    <w:rsid w:val="35F5260C"/>
    <w:rsid w:val="39B2005C"/>
    <w:rsid w:val="3A7C4FBC"/>
    <w:rsid w:val="3ABE3914"/>
    <w:rsid w:val="3BEFACF5"/>
    <w:rsid w:val="3D804EB1"/>
    <w:rsid w:val="3D966803"/>
    <w:rsid w:val="3E5004CA"/>
    <w:rsid w:val="3F8040E1"/>
    <w:rsid w:val="414F3518"/>
    <w:rsid w:val="41E81277"/>
    <w:rsid w:val="42111F0F"/>
    <w:rsid w:val="42F779C3"/>
    <w:rsid w:val="4607616F"/>
    <w:rsid w:val="46C329DE"/>
    <w:rsid w:val="48BB76E5"/>
    <w:rsid w:val="49816239"/>
    <w:rsid w:val="4C6F020B"/>
    <w:rsid w:val="4D0E297B"/>
    <w:rsid w:val="4E30022D"/>
    <w:rsid w:val="4E6F3503"/>
    <w:rsid w:val="547C5F7A"/>
    <w:rsid w:val="553A0B14"/>
    <w:rsid w:val="55656875"/>
    <w:rsid w:val="56DC0F52"/>
    <w:rsid w:val="577B16C6"/>
    <w:rsid w:val="58ED5699"/>
    <w:rsid w:val="5BAB1819"/>
    <w:rsid w:val="5C5123E2"/>
    <w:rsid w:val="5C6A0DAE"/>
    <w:rsid w:val="5D531252"/>
    <w:rsid w:val="5F5024DD"/>
    <w:rsid w:val="6048131A"/>
    <w:rsid w:val="629F7C2B"/>
    <w:rsid w:val="6365400F"/>
    <w:rsid w:val="63ED0F66"/>
    <w:rsid w:val="651851B2"/>
    <w:rsid w:val="66067D9A"/>
    <w:rsid w:val="66552ACF"/>
    <w:rsid w:val="691C1682"/>
    <w:rsid w:val="6B476FBC"/>
    <w:rsid w:val="6B9D4CFC"/>
    <w:rsid w:val="6D3E42BD"/>
    <w:rsid w:val="6DCA7577"/>
    <w:rsid w:val="6EAD34A8"/>
    <w:rsid w:val="6EBB7B71"/>
    <w:rsid w:val="71267542"/>
    <w:rsid w:val="74EA0887"/>
    <w:rsid w:val="77764653"/>
    <w:rsid w:val="77C769EB"/>
    <w:rsid w:val="7A5549F4"/>
    <w:rsid w:val="7BDF6BB1"/>
    <w:rsid w:val="7C7C44BA"/>
    <w:rsid w:val="7CC06A9D"/>
    <w:rsid w:val="7CF46746"/>
    <w:rsid w:val="7D6E582F"/>
    <w:rsid w:val="7DDA3B8E"/>
    <w:rsid w:val="7E1F5A45"/>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4596</Words>
  <Characters>4721</Characters>
  <Lines>0</Lines>
  <Paragraphs>97</Paragraphs>
  <TotalTime>5</TotalTime>
  <ScaleCrop>false</ScaleCrop>
  <LinksUpToDate>false</LinksUpToDate>
  <CharactersWithSpaces>4847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86176</cp:lastModifiedBy>
  <cp:lastPrinted>2024-03-22T03:18:00Z</cp:lastPrinted>
  <dcterms:modified xsi:type="dcterms:W3CDTF">2025-03-14T08:08:37Z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BCAB07F728474FFCAB8085352687480E_13</vt:lpwstr>
  </property>
  <property fmtid="{D5CDD505-2E9C-101B-9397-08002B2CF9AE}" pid="4" name="KSOTemplateDocerSaveRecord">
    <vt:lpwstr>eyJoZGlkIjoiNWM0MTI4NmUzMTg0YzMzZDcwYTA1NzM2Zjc0ZTNjMjQifQ==</vt:lpwstr>
  </property>
</Properties>
</file>